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Anna Gamberini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Autrice indipendente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Contatti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Tempicalmiblog@gmail.com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Città: Bologna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FORMAZIONE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Laurea in Medicina e Chirurgia – Università di Bologna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ESPERIENZA PROFESSIONALE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Medico libero professionista dal 1994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Esperta in medicina tradizionale cinese, agopuntura.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Esperta in ecografia 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Oggi autrice indipendente:  racconti brevi, flash narrativi e articoli.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Fondatrice e curatrice del blog Tempi Calmi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